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07CB6" w14:paraId="21000D1E" w14:textId="77777777" w:rsidTr="00D4468A">
        <w:tc>
          <w:tcPr>
            <w:tcW w:w="2127" w:type="dxa"/>
            <w:shd w:val="clear" w:color="auto" w:fill="D71016"/>
          </w:tcPr>
          <w:p w14:paraId="4BCE70D6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49CB8D7F" w14:textId="77777777" w:rsidR="00507CB6" w:rsidRDefault="009750F9" w:rsidP="00D4468A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 Dekanlık Makamı</w:t>
            </w:r>
          </w:p>
        </w:tc>
      </w:tr>
      <w:tr w:rsidR="00507CB6" w14:paraId="22291CF9" w14:textId="77777777" w:rsidTr="00D4468A">
        <w:tc>
          <w:tcPr>
            <w:tcW w:w="2127" w:type="dxa"/>
            <w:shd w:val="clear" w:color="auto" w:fill="D71016"/>
          </w:tcPr>
          <w:p w14:paraId="1A03F26C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477C764" w14:textId="77777777" w:rsidR="00507CB6" w:rsidRDefault="009750F9" w:rsidP="00D4468A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507CB6" w14:paraId="44A3EE16" w14:textId="77777777" w:rsidTr="00D4468A">
        <w:tc>
          <w:tcPr>
            <w:tcW w:w="2127" w:type="dxa"/>
            <w:shd w:val="clear" w:color="auto" w:fill="D71016"/>
          </w:tcPr>
          <w:p w14:paraId="1E49478A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7C4A2CC1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 / Rektör Yardımcısı</w:t>
            </w:r>
          </w:p>
        </w:tc>
      </w:tr>
      <w:tr w:rsidR="00507CB6" w14:paraId="7F972CCB" w14:textId="77777777" w:rsidTr="00D4468A">
        <w:tc>
          <w:tcPr>
            <w:tcW w:w="2127" w:type="dxa"/>
            <w:shd w:val="clear" w:color="auto" w:fill="D71016"/>
          </w:tcPr>
          <w:p w14:paraId="5FF19323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51A69B0D" w14:textId="77777777" w:rsidR="00507CB6" w:rsidRDefault="009750F9" w:rsidP="00D4468A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Dekan Yardımcısı vekâlet eder.</w:t>
            </w:r>
          </w:p>
        </w:tc>
      </w:tr>
    </w:tbl>
    <w:p w14:paraId="659E573D" w14:textId="77777777" w:rsidR="00507CB6" w:rsidRDefault="00507CB6" w:rsidP="00D4468A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07CB6" w14:paraId="4FE9540C" w14:textId="77777777" w:rsidTr="00D4468A">
        <w:tc>
          <w:tcPr>
            <w:tcW w:w="10065" w:type="dxa"/>
            <w:shd w:val="clear" w:color="auto" w:fill="D71016"/>
          </w:tcPr>
          <w:p w14:paraId="0685A3CB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507CB6" w14:paraId="4C3E55CC" w14:textId="77777777" w:rsidTr="00D4468A">
        <w:tc>
          <w:tcPr>
            <w:tcW w:w="10065" w:type="dxa"/>
            <w:shd w:val="clear" w:color="auto" w:fill="FFFFFF" w:themeFill="background1"/>
          </w:tcPr>
          <w:p w14:paraId="454A3E21" w14:textId="77777777" w:rsidR="00507CB6" w:rsidRDefault="009750F9" w:rsidP="00D4468A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 doğrultusunda, fakültenin tüm faaliyetlerini etkinlik ve verimlilik esaslarına uygun şekilde yürütmek amacıyla çalışmalar yapmak, Fakültenin vizyon ve misyonuna uygun olarak eğitim-öğretim süreçlerini planlamak, yönlendirmek, koordine etmek ve denetlemektir.</w:t>
            </w:r>
          </w:p>
        </w:tc>
      </w:tr>
    </w:tbl>
    <w:p w14:paraId="0E6E5CD6" w14:textId="77777777" w:rsidR="00507CB6" w:rsidRDefault="00507CB6" w:rsidP="00D4468A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507CB6" w14:paraId="13DB0F7E" w14:textId="77777777" w:rsidTr="00D4468A">
        <w:tc>
          <w:tcPr>
            <w:tcW w:w="10065" w:type="dxa"/>
            <w:shd w:val="clear" w:color="auto" w:fill="D71016"/>
          </w:tcPr>
          <w:p w14:paraId="3AEC3C88" w14:textId="77777777" w:rsidR="00507CB6" w:rsidRDefault="009750F9" w:rsidP="00D446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507CB6" w14:paraId="1C00F299" w14:textId="77777777" w:rsidTr="00D4468A">
        <w:tc>
          <w:tcPr>
            <w:tcW w:w="10065" w:type="dxa"/>
            <w:shd w:val="clear" w:color="auto" w:fill="FFFFFF" w:themeFill="background1"/>
          </w:tcPr>
          <w:p w14:paraId="55EDFF55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Sayılı Yüksek Öğretim Kanununda verilen görevleri yapmak,</w:t>
            </w:r>
          </w:p>
          <w:p w14:paraId="26694050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Fakülteyi üst düzeyde temsil etmek,</w:t>
            </w:r>
          </w:p>
          <w:p w14:paraId="2ED50E23" w14:textId="3CE3EDA0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237D2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urulu ve Fakülte Yönetim Kuruluna başkanlık etmek, kurul kararlarının uygulanmasını sağlamak, </w:t>
            </w:r>
          </w:p>
          <w:p w14:paraId="2036AE0A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öğretim yılı sonunda ve istendiğinde fakültenin genel durumu ve işleyişi hakkında Rektörlük Makamına rapor sunmak,</w:t>
            </w:r>
          </w:p>
          <w:p w14:paraId="6CBF7E63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 eğitim-öğretimin çağdaş bir anlayışla yürütülmesini sağlamak,</w:t>
            </w:r>
          </w:p>
          <w:p w14:paraId="0960841E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 eğitim-öğretim sistemiyle ilgili sorunlarını tespit etmek, çözüm önerileri geliştirmek ve Rektörlük Makamına iletmek,</w:t>
            </w:r>
          </w:p>
          <w:p w14:paraId="56B938F5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bilimsel araştırma ve yayın etkinliklerini etik kurallar çerçevesinde yürütmek,</w:t>
            </w:r>
          </w:p>
          <w:p w14:paraId="28AB76CA" w14:textId="77777777" w:rsidR="008A6A03" w:rsidRDefault="009750F9" w:rsidP="008A6A03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personeli ile öğrencilerinin sosyal, kültürel ve bilimsel etkinliklere katılımlarını sağlamak,</w:t>
            </w:r>
          </w:p>
          <w:p w14:paraId="745F2321" w14:textId="134DBF2A" w:rsidR="00507CB6" w:rsidRPr="008A6A03" w:rsidRDefault="009750F9" w:rsidP="008A6A03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03">
              <w:rPr>
                <w:rFonts w:ascii="Times New Roman" w:hAnsi="Times New Roman" w:cs="Times New Roman"/>
                <w:sz w:val="24"/>
                <w:szCs w:val="24"/>
              </w:rPr>
              <w:t>Üniversitenin stratejik planı doğrultusunda yıllık hedef ve eylem planları yapmak,</w:t>
            </w:r>
          </w:p>
          <w:p w14:paraId="00D3ADC4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fiziki olanaklarını uygun şekilde değerlendirmek ve etkili bir envanter yönetim sistemi oluşturmak, </w:t>
            </w:r>
          </w:p>
          <w:p w14:paraId="53BDE695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Fakültelerin örgütlenme ihtiyaçları doğrultusunda kadroların oluşturulmasına ilişkin öneride bulunmak,</w:t>
            </w:r>
          </w:p>
          <w:p w14:paraId="62DF446C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ile iç ve dış paydaşlar arasındaki ilişkileri geliştirmek,</w:t>
            </w:r>
          </w:p>
          <w:p w14:paraId="78F91679" w14:textId="16EF98DB" w:rsidR="00507CB6" w:rsidRPr="008A6A03" w:rsidRDefault="009750F9" w:rsidP="008A6A03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faaliyetlerin sorunsuz yürütülmesi için gerekli görülen hallerde komisyonlar oluşturmak,</w:t>
            </w:r>
          </w:p>
          <w:p w14:paraId="06E01932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Mezunların takip edilmesini ve mezunlarla ilişkilerin güçlendirilmesini sağlamak,</w:t>
            </w:r>
          </w:p>
          <w:p w14:paraId="6F9459F9" w14:textId="173AC985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Fakültenin idari ve akademik personeli için ihtiyaç duyulan alanlarda </w:t>
            </w:r>
            <w:r w:rsidR="008A6A03">
              <w:rPr>
                <w:rFonts w:ascii="Times New Roman" w:hAnsi="Times New Roman" w:cs="Times New Roman"/>
                <w:sz w:val="24"/>
                <w:szCs w:val="24"/>
              </w:rPr>
              <w:t>etkinlikler düzenlemek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94C9554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Fakültedeki programların ulusal ve uluslararası akreditasyonu için gerekli çalışmaların yapılmasını sağlamak,</w:t>
            </w:r>
          </w:p>
          <w:p w14:paraId="7A097255" w14:textId="77777777" w:rsidR="00507CB6" w:rsidRDefault="009750F9" w:rsidP="00D4468A">
            <w:pPr>
              <w:pStyle w:val="AralkYok"/>
              <w:numPr>
                <w:ilvl w:val="0"/>
                <w:numId w:val="17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Fakültede kalite bilincinin oluşturulup yaygınlaştırılmasını sağlamak, görevi ile ilgili süreçleri Üniversitemiz Kalite Politikası ve Kalite Yönetim Sistemi çerçevesinde, kalite hedefleri ve prosedürlerine uygun olarak yürütmek ve yürütülmesini sağlamak, </w:t>
            </w:r>
          </w:p>
          <w:p w14:paraId="16EC64E5" w14:textId="0D3851DD" w:rsidR="008A6A03" w:rsidRDefault="008A6A03" w:rsidP="008A6A03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Üst yönetim tarafından verilen görevleri yerine getirmektir.</w:t>
            </w:r>
          </w:p>
          <w:p w14:paraId="59974A0E" w14:textId="5C0069EC" w:rsidR="00507CB6" w:rsidRDefault="009750F9" w:rsidP="008A6A03">
            <w:pPr>
              <w:pStyle w:val="AralkYok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Dekan, yukarıda yazılı olan bütün bu görevleri kanunlara ve yönetmeliklere uygun olarak yerine getirirken Rektöre karşı sorumludur.</w:t>
            </w:r>
          </w:p>
        </w:tc>
      </w:tr>
    </w:tbl>
    <w:p w14:paraId="6B67A68E" w14:textId="77777777" w:rsidR="00507CB6" w:rsidRDefault="00507CB6" w:rsidP="00D4468A">
      <w:pPr>
        <w:pStyle w:val="AralkYok"/>
        <w:spacing w:line="276" w:lineRule="auto"/>
        <w:rPr>
          <w:rFonts w:ascii="Cambria" w:hAnsi="Cambria"/>
        </w:rPr>
      </w:pPr>
    </w:p>
    <w:sectPr w:rsidR="00507CB6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C1C9" w14:textId="77777777" w:rsidR="00A04E23" w:rsidRDefault="00A04E23">
      <w:r>
        <w:separator/>
      </w:r>
    </w:p>
  </w:endnote>
  <w:endnote w:type="continuationSeparator" w:id="0">
    <w:p w14:paraId="1F26C5B3" w14:textId="77777777" w:rsidR="00A04E23" w:rsidRDefault="00A0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507CB6" w14:paraId="4072C7B6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42D22D9F" w14:textId="77777777" w:rsidR="00507CB6" w:rsidRDefault="009750F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142CFA9D" w14:textId="77777777" w:rsidR="00507CB6" w:rsidRDefault="009750F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1C972850" w14:textId="77777777" w:rsidR="00507CB6" w:rsidRDefault="009750F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6DF23F48" w14:textId="77777777" w:rsidR="00507CB6" w:rsidRDefault="00507CB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01728C2B" w14:textId="77777777" w:rsidR="00507CB6" w:rsidRDefault="00507CB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22780D63" w14:textId="77777777" w:rsidR="00507CB6" w:rsidRDefault="009750F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72A6588B" w14:textId="77777777" w:rsidR="00507CB6" w:rsidRDefault="009750F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729FC012" w14:textId="77777777" w:rsidR="00507CB6" w:rsidRDefault="009750F9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7598669A" w14:textId="77777777" w:rsidR="00507CB6" w:rsidRDefault="00507CB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72A509B8" w14:textId="77777777" w:rsidR="00507CB6" w:rsidRDefault="00507CB6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0E64724D" w14:textId="77777777" w:rsidR="00507CB6" w:rsidRDefault="00507CB6">
    <w:pPr>
      <w:tabs>
        <w:tab w:val="center" w:pos="4536"/>
        <w:tab w:val="right" w:pos="9072"/>
      </w:tabs>
    </w:pPr>
  </w:p>
  <w:p w14:paraId="3E81BE01" w14:textId="77777777" w:rsidR="00507CB6" w:rsidRDefault="00507CB6">
    <w:pPr>
      <w:pStyle w:val="AltBilgi"/>
    </w:pPr>
  </w:p>
  <w:p w14:paraId="1262F186" w14:textId="77777777" w:rsidR="00507CB6" w:rsidRDefault="00507C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3A14" w14:textId="77777777" w:rsidR="00A04E23" w:rsidRDefault="00A04E23">
      <w:r>
        <w:separator/>
      </w:r>
    </w:p>
  </w:footnote>
  <w:footnote w:type="continuationSeparator" w:id="0">
    <w:p w14:paraId="0B5EECA6" w14:textId="77777777" w:rsidR="00A04E23" w:rsidRDefault="00A0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418"/>
      <w:gridCol w:w="1559"/>
    </w:tblGrid>
    <w:tr w:rsidR="00507CB6" w14:paraId="514BFB39" w14:textId="77777777" w:rsidTr="00D4468A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EF2EAD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D8A82BB" wp14:editId="15C5F92F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DE7F75" w14:textId="77777777" w:rsidR="00507CB6" w:rsidRDefault="00507CB6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FCC98D3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570FB104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1006C28B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DEKAN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620B09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4E4F7B" w14:textId="4B573E06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6951CC">
            <w:rPr>
              <w:rFonts w:eastAsia="Arial"/>
              <w:color w:val="000000"/>
              <w:sz w:val="18"/>
              <w:szCs w:val="18"/>
            </w:rPr>
            <w:t>125</w:t>
          </w:r>
        </w:p>
      </w:tc>
    </w:tr>
    <w:tr w:rsidR="00507CB6" w14:paraId="352B9653" w14:textId="77777777" w:rsidTr="00D4468A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F195DE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0F4F85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6A947B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CF137E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507CB6" w14:paraId="245FEFB3" w14:textId="77777777" w:rsidTr="00D4468A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32C7EA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2C4D14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95AF6A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77435C" w14:textId="53339012" w:rsidR="00507CB6" w:rsidRDefault="006951C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237D24">
            <w:rPr>
              <w:rFonts w:eastAsia="Arial"/>
              <w:color w:val="000000"/>
              <w:sz w:val="18"/>
              <w:szCs w:val="18"/>
            </w:rPr>
            <w:t>2</w:t>
          </w:r>
          <w:r w:rsidR="009750F9">
            <w:rPr>
              <w:rFonts w:eastAsia="Arial"/>
              <w:color w:val="000000"/>
              <w:sz w:val="18"/>
              <w:szCs w:val="18"/>
            </w:rPr>
            <w:t>.</w:t>
          </w:r>
          <w:r w:rsidR="00237D24">
            <w:rPr>
              <w:rFonts w:eastAsia="Arial"/>
              <w:color w:val="000000"/>
              <w:sz w:val="18"/>
              <w:szCs w:val="18"/>
            </w:rPr>
            <w:t>10</w:t>
          </w:r>
          <w:r w:rsidR="009750F9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507CB6" w14:paraId="4236FF39" w14:textId="77777777" w:rsidTr="00D4468A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7B6040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282FE6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C24A52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A9F55E" w14:textId="14E7B4CF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237D24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507CB6" w14:paraId="4EB23AC4" w14:textId="77777777" w:rsidTr="00D4468A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EA1316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EB039D" w14:textId="77777777" w:rsidR="00507CB6" w:rsidRDefault="0050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F688F5" w14:textId="77777777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F100A4" w14:textId="2A9D54C2" w:rsidR="00507CB6" w:rsidRDefault="009750F9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8A6A03"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8A6A03"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26854AF8" w14:textId="77777777" w:rsidR="00507CB6" w:rsidRDefault="00507CB6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19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0"/>
  </w:num>
  <w:num w:numId="19">
    <w:abstractNumId w:val="10"/>
  </w:num>
  <w:num w:numId="20">
    <w:abstractNumId w:val="2"/>
  </w:num>
  <w:num w:numId="21">
    <w:abstractNumId w:val="6"/>
  </w:num>
  <w:num w:numId="22">
    <w:abstractNumId w:val="1"/>
  </w:num>
  <w:num w:numId="2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B6"/>
    <w:rsid w:val="00154D0B"/>
    <w:rsid w:val="00237D24"/>
    <w:rsid w:val="00507CB6"/>
    <w:rsid w:val="006951CC"/>
    <w:rsid w:val="008A6A03"/>
    <w:rsid w:val="009750F9"/>
    <w:rsid w:val="00A04E23"/>
    <w:rsid w:val="00C56927"/>
    <w:rsid w:val="00D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A08E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22</cp:revision>
  <dcterms:created xsi:type="dcterms:W3CDTF">2025-01-26T13:26:00Z</dcterms:created>
  <dcterms:modified xsi:type="dcterms:W3CDTF">2025-10-02T07:07:00Z</dcterms:modified>
</cp:coreProperties>
</file>